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b/>
          <w:color w:val="auto"/>
          <w:sz w:val="48"/>
          <w:szCs w:val="48"/>
          <w:lang w:val="en-US" w:eastAsia="zh-CN"/>
        </w:rPr>
      </w:pPr>
      <w:r>
        <w:rPr>
          <w:rFonts w:hint="eastAsia" w:ascii="仿宋" w:hAnsi="仿宋" w:eastAsia="仿宋"/>
          <w:b/>
          <w:color w:val="auto"/>
          <w:sz w:val="44"/>
          <w:szCs w:val="44"/>
          <w:lang w:val="en-US" w:eastAsia="zh-CN"/>
        </w:rPr>
        <w:t>关于申报2020年春季学期线上授课课程的通 知</w:t>
      </w:r>
    </w:p>
    <w:p>
      <w:pPr>
        <w:rPr>
          <w:rFonts w:hint="eastAsia" w:ascii="仿宋" w:hAnsi="仿宋" w:eastAsia="仿宋"/>
          <w:b/>
          <w:color w:val="auto"/>
          <w:sz w:val="48"/>
          <w:szCs w:val="48"/>
          <w:lang w:val="en-US" w:eastAsia="zh-CN"/>
        </w:rPr>
      </w:pPr>
    </w:p>
    <w:p>
      <w:pPr>
        <w:rPr>
          <w:rFonts w:ascii="仿宋" w:hAnsi="仿宋" w:eastAsia="仿宋"/>
          <w:color w:val="auto"/>
          <w:sz w:val="32"/>
          <w:szCs w:val="28"/>
        </w:rPr>
      </w:pPr>
      <w:r>
        <w:rPr>
          <w:rFonts w:ascii="仿宋" w:hAnsi="仿宋" w:eastAsia="仿宋"/>
          <w:color w:val="auto"/>
          <w:sz w:val="32"/>
          <w:szCs w:val="28"/>
        </w:rPr>
        <w:t>各</w:t>
      </w:r>
      <w:r>
        <w:rPr>
          <w:rFonts w:hint="eastAsia" w:ascii="仿宋" w:hAnsi="仿宋" w:eastAsia="仿宋"/>
          <w:color w:val="auto"/>
          <w:sz w:val="32"/>
          <w:szCs w:val="28"/>
          <w:lang w:eastAsia="zh-CN"/>
        </w:rPr>
        <w:t>教学</w:t>
      </w:r>
      <w:r>
        <w:rPr>
          <w:rFonts w:ascii="仿宋" w:hAnsi="仿宋" w:eastAsia="仿宋"/>
          <w:color w:val="auto"/>
          <w:sz w:val="32"/>
          <w:szCs w:val="28"/>
        </w:rPr>
        <w:t>单位</w:t>
      </w:r>
      <w:r>
        <w:rPr>
          <w:rFonts w:hint="eastAsia" w:ascii="仿宋" w:hAnsi="仿宋" w:eastAsia="仿宋"/>
          <w:color w:val="auto"/>
          <w:sz w:val="32"/>
          <w:szCs w:val="28"/>
        </w:rPr>
        <w:t>：</w:t>
      </w:r>
    </w:p>
    <w:p>
      <w:pPr>
        <w:ind w:firstLine="640" w:firstLineChars="200"/>
        <w:rPr>
          <w:rFonts w:hint="eastAsia" w:ascii="仿宋" w:hAnsi="仿宋" w:eastAsia="仿宋"/>
          <w:color w:val="auto"/>
          <w:sz w:val="32"/>
          <w:szCs w:val="28"/>
        </w:rPr>
      </w:pPr>
      <w:r>
        <w:rPr>
          <w:rFonts w:hint="eastAsia" w:ascii="仿宋" w:hAnsi="仿宋" w:eastAsia="仿宋"/>
          <w:color w:val="auto"/>
          <w:sz w:val="32"/>
          <w:szCs w:val="28"/>
        </w:rPr>
        <w:t>受新型冠状病毒感染的肺炎疫情影响，学校2020年春季学期延迟开学（到2月24日以后）。根据教育厅《关于做好2020年春季学期延迟开学工作的通知》（〔2020〕19号）及《关于做好新型冠状病毒感染的肺炎疫情防控期间本科学校本专科教学工作的通知》（湘教通〔2020〕20 号）文件精神，学校需要制定延迟开学的教学组织方案，并制定网络教学方案、开发网络教学课程。</w:t>
      </w:r>
    </w:p>
    <w:p>
      <w:pPr>
        <w:ind w:firstLine="640" w:firstLineChars="200"/>
        <w:rPr>
          <w:rFonts w:hint="eastAsia" w:ascii="仿宋" w:hAnsi="仿宋" w:eastAsia="仿宋"/>
          <w:color w:val="auto"/>
          <w:sz w:val="32"/>
          <w:szCs w:val="28"/>
        </w:rPr>
      </w:pPr>
      <w:r>
        <w:rPr>
          <w:rFonts w:hint="eastAsia" w:ascii="仿宋" w:hAnsi="仿宋" w:eastAsia="仿宋"/>
          <w:color w:val="auto"/>
          <w:sz w:val="32"/>
          <w:szCs w:val="28"/>
        </w:rPr>
        <w:t>经疫情防控领导小组第四次会议决定：各教学单位基于2019-2020学年第二学期教学计划，按专业、分年级申报并统计开展线上教学的课程及教师信息。现将相关事宜通知如下：</w:t>
      </w:r>
    </w:p>
    <w:p>
      <w:pPr>
        <w:ind w:firstLine="640" w:firstLineChars="200"/>
        <w:rPr>
          <w:rFonts w:hint="eastAsia" w:ascii="仿宋" w:hAnsi="仿宋" w:eastAsia="仿宋"/>
          <w:color w:val="auto"/>
          <w:sz w:val="32"/>
          <w:szCs w:val="28"/>
          <w:lang w:eastAsia="zh-CN"/>
        </w:rPr>
      </w:pPr>
      <w:r>
        <w:rPr>
          <w:rFonts w:hint="eastAsia" w:ascii="仿宋" w:hAnsi="仿宋" w:eastAsia="仿宋"/>
          <w:color w:val="auto"/>
          <w:sz w:val="32"/>
          <w:szCs w:val="28"/>
          <w:lang w:eastAsia="zh-CN"/>
        </w:rPr>
        <w:t>一、申报要求：</w:t>
      </w:r>
    </w:p>
    <w:p>
      <w:pPr>
        <w:numPr>
          <w:ilvl w:val="0"/>
          <w:numId w:val="1"/>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各教学单位要根据专业人才培养的重要程度，优先从专业基础课程和专业核心课程中推荐；</w:t>
      </w:r>
    </w:p>
    <w:p>
      <w:pPr>
        <w:numPr>
          <w:ilvl w:val="0"/>
          <w:numId w:val="1"/>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充分考虑教学效果和实际情况，优先从信息化教学基础较好的教师或课程中推荐；</w:t>
      </w:r>
    </w:p>
    <w:p>
      <w:pPr>
        <w:numPr>
          <w:ilvl w:val="0"/>
          <w:numId w:val="1"/>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群策群力，各教研室或课程团队成员要积极参与，保证教学质量。</w:t>
      </w:r>
    </w:p>
    <w:p>
      <w:pPr>
        <w:numPr>
          <w:ilvl w:val="0"/>
          <w:numId w:val="2"/>
        </w:numPr>
        <w:ind w:firstLine="420" w:firstLineChars="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申报注意事项：</w:t>
      </w:r>
      <w:bookmarkStart w:id="0" w:name="_GoBack"/>
      <w:bookmarkEnd w:id="0"/>
    </w:p>
    <w:p>
      <w:pPr>
        <w:numPr>
          <w:ilvl w:val="0"/>
          <w:numId w:val="3"/>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rPr>
        <w:t>各专业大一到大三</w:t>
      </w:r>
      <w:r>
        <w:rPr>
          <w:rFonts w:hint="eastAsia" w:ascii="仿宋" w:hAnsi="仿宋" w:eastAsia="仿宋"/>
          <w:color w:val="auto"/>
          <w:sz w:val="32"/>
          <w:szCs w:val="28"/>
          <w:lang w:eastAsia="zh-CN"/>
        </w:rPr>
        <w:t>每个</w:t>
      </w:r>
      <w:r>
        <w:rPr>
          <w:rFonts w:hint="eastAsia" w:ascii="仿宋" w:hAnsi="仿宋" w:eastAsia="仿宋"/>
          <w:color w:val="auto"/>
          <w:sz w:val="32"/>
          <w:szCs w:val="28"/>
        </w:rPr>
        <w:t>年级</w:t>
      </w:r>
      <w:r>
        <w:rPr>
          <w:rFonts w:hint="eastAsia" w:ascii="仿宋" w:hAnsi="仿宋" w:eastAsia="仿宋"/>
          <w:color w:val="auto"/>
          <w:sz w:val="32"/>
          <w:szCs w:val="28"/>
          <w:lang w:val="en-US" w:eastAsia="zh-CN"/>
        </w:rPr>
        <w:t>至少申报两门专业课程，各专业大四年级</w:t>
      </w:r>
      <w:r>
        <w:rPr>
          <w:rFonts w:hint="eastAsia" w:ascii="仿宋" w:hAnsi="仿宋" w:eastAsia="仿宋"/>
          <w:color w:val="auto"/>
          <w:sz w:val="32"/>
          <w:szCs w:val="28"/>
        </w:rPr>
        <w:t>可视具体情况由各学院自主决定是否申报</w:t>
      </w:r>
      <w:r>
        <w:rPr>
          <w:rFonts w:hint="eastAsia" w:ascii="仿宋" w:hAnsi="仿宋" w:eastAsia="仿宋"/>
          <w:color w:val="auto"/>
          <w:sz w:val="32"/>
          <w:szCs w:val="28"/>
          <w:lang w:val="en-US" w:eastAsia="zh-CN"/>
        </w:rPr>
        <w:t>；</w:t>
      </w:r>
    </w:p>
    <w:p>
      <w:pPr>
        <w:numPr>
          <w:ilvl w:val="0"/>
          <w:numId w:val="3"/>
        </w:numPr>
        <w:ind w:firstLine="640" w:firstLineChars="200"/>
        <w:rPr>
          <w:rFonts w:hint="default" w:ascii="仿宋" w:hAnsi="仿宋" w:eastAsia="仿宋"/>
          <w:color w:val="auto"/>
          <w:sz w:val="32"/>
          <w:szCs w:val="28"/>
          <w:lang w:val="en-US" w:eastAsia="zh-CN"/>
        </w:rPr>
      </w:pPr>
      <w:r>
        <w:rPr>
          <w:rFonts w:hint="eastAsia" w:ascii="仿宋" w:hAnsi="仿宋" w:eastAsia="仿宋"/>
          <w:color w:val="auto"/>
          <w:sz w:val="32"/>
          <w:szCs w:val="28"/>
          <w:lang w:val="en-US" w:eastAsia="zh-CN"/>
        </w:rPr>
        <w:t>每门课程确定一位主讲教师，可由一位或多位参与教师采取团队方式授课；</w:t>
      </w:r>
    </w:p>
    <w:p>
      <w:pPr>
        <w:numPr>
          <w:ilvl w:val="0"/>
          <w:numId w:val="3"/>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全校性公共必修课，请各学院组织教师采取团队线上授课方式进行，一并统计汇总在申报表中。超星尔雅通识课程授课方式不变；同时鼓励上期已申报并审批通过的全校性选修课申报线上授课</w:t>
      </w:r>
      <w:r>
        <w:rPr>
          <w:rFonts w:hint="eastAsia" w:ascii="仿宋" w:hAnsi="仿宋" w:eastAsia="仿宋"/>
          <w:color w:val="auto"/>
          <w:sz w:val="32"/>
          <w:szCs w:val="28"/>
          <w:lang w:val="en-US" w:eastAsia="zh-CN"/>
        </w:rPr>
        <w:t>；</w:t>
      </w:r>
    </w:p>
    <w:p>
      <w:pPr>
        <w:numPr>
          <w:ilvl w:val="0"/>
          <w:numId w:val="3"/>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交表日期：于2020年2月5日下午18：00前，各学院将审定后的“湖南科技学院2020年上期线上教学课程申报表”（见附件）电子稿通过QQ（13159450）发至教务处教学管理科盛新福老师处</w:t>
      </w:r>
      <w:r>
        <w:rPr>
          <w:rFonts w:hint="eastAsia" w:ascii="仿宋" w:hAnsi="仿宋" w:eastAsia="仿宋"/>
          <w:color w:val="auto"/>
          <w:sz w:val="32"/>
          <w:szCs w:val="28"/>
          <w:lang w:val="en-US" w:eastAsia="zh-CN"/>
        </w:rPr>
        <w:t>；</w:t>
      </w:r>
    </w:p>
    <w:p>
      <w:pPr>
        <w:numPr>
          <w:ilvl w:val="0"/>
          <w:numId w:val="3"/>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本次线上授课将做为今年校级及以上各类</w:t>
      </w:r>
      <w:r>
        <w:rPr>
          <w:rFonts w:hint="eastAsia" w:ascii="仿宋" w:hAnsi="仿宋" w:eastAsia="仿宋"/>
          <w:color w:val="auto"/>
          <w:sz w:val="32"/>
          <w:szCs w:val="28"/>
          <w:lang w:val="en-US" w:eastAsia="zh-CN"/>
        </w:rPr>
        <w:t>金课</w:t>
      </w:r>
      <w:r>
        <w:rPr>
          <w:rFonts w:hint="eastAsia" w:ascii="仿宋" w:hAnsi="仿宋" w:eastAsia="仿宋"/>
          <w:color w:val="auto"/>
          <w:sz w:val="32"/>
          <w:szCs w:val="28"/>
          <w:lang w:val="en-US" w:eastAsia="zh-CN"/>
        </w:rPr>
        <w:t>、课程团队等申报的重要参考依据和条件；2019年已立项的校级及以上各类金课要积极申报线上授课，届时将做为课程年度考核的重要评价指标</w:t>
      </w:r>
      <w:r>
        <w:rPr>
          <w:rFonts w:hint="eastAsia" w:ascii="仿宋" w:hAnsi="仿宋" w:eastAsia="仿宋"/>
          <w:color w:val="auto"/>
          <w:sz w:val="32"/>
          <w:szCs w:val="28"/>
          <w:lang w:val="en-US" w:eastAsia="zh-CN"/>
        </w:rPr>
        <w:t>；</w:t>
      </w:r>
    </w:p>
    <w:p>
      <w:pPr>
        <w:numPr>
          <w:ilvl w:val="0"/>
          <w:numId w:val="3"/>
        </w:num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具体授课安排及</w:t>
      </w:r>
      <w:r>
        <w:rPr>
          <w:rFonts w:hint="eastAsia" w:ascii="仿宋" w:hAnsi="仿宋" w:eastAsia="仿宋"/>
          <w:color w:val="auto"/>
          <w:sz w:val="32"/>
          <w:szCs w:val="28"/>
        </w:rPr>
        <w:t>授课老师线上授课技术（网上）</w:t>
      </w:r>
      <w:r>
        <w:rPr>
          <w:rFonts w:hint="eastAsia" w:ascii="仿宋" w:hAnsi="仿宋" w:eastAsia="仿宋"/>
          <w:color w:val="auto"/>
          <w:sz w:val="32"/>
          <w:szCs w:val="28"/>
          <w:lang w:val="en-US" w:eastAsia="zh-CN"/>
        </w:rPr>
        <w:t>培训安排另行通知。</w:t>
      </w:r>
    </w:p>
    <w:p>
      <w:pPr>
        <w:widowControl w:val="0"/>
        <w:numPr>
          <w:ilvl w:val="0"/>
          <w:numId w:val="0"/>
        </w:numPr>
        <w:jc w:val="both"/>
        <w:rPr>
          <w:rFonts w:hint="default" w:ascii="仿宋" w:hAnsi="仿宋" w:eastAsia="仿宋"/>
          <w:color w:val="auto"/>
          <w:sz w:val="32"/>
          <w:szCs w:val="28"/>
          <w:lang w:val="en-US" w:eastAsia="zh-CN"/>
        </w:rPr>
      </w:pPr>
    </w:p>
    <w:p>
      <w:pPr>
        <w:widowControl w:val="0"/>
        <w:numPr>
          <w:ilvl w:val="0"/>
          <w:numId w:val="0"/>
        </w:numPr>
        <w:jc w:val="both"/>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 xml:space="preserve">                                         教务处</w:t>
      </w:r>
    </w:p>
    <w:p>
      <w:pPr>
        <w:ind w:firstLine="640" w:firstLineChars="200"/>
        <w:jc w:val="right"/>
        <w:rPr>
          <w:rFonts w:hint="eastAsia" w:ascii="仿宋" w:hAnsi="仿宋" w:eastAsia="仿宋"/>
          <w:color w:val="auto"/>
          <w:sz w:val="32"/>
          <w:szCs w:val="28"/>
        </w:rPr>
      </w:pPr>
      <w:r>
        <w:rPr>
          <w:rFonts w:hint="eastAsia" w:ascii="仿宋" w:hAnsi="仿宋" w:eastAsia="仿宋"/>
          <w:color w:val="auto"/>
          <w:sz w:val="32"/>
          <w:szCs w:val="28"/>
          <w:lang w:val="en-US" w:eastAsia="zh-CN"/>
        </w:rPr>
        <w:t>2020年2月3日</w:t>
      </w:r>
    </w:p>
    <w:p>
      <w:pPr>
        <w:rPr>
          <w:rFonts w:hint="eastAsia" w:ascii="仿宋" w:hAnsi="仿宋" w:eastAsia="仿宋"/>
          <w:color w:val="auto"/>
          <w:sz w:val="32"/>
          <w:szCs w:val="28"/>
          <w:lang w:eastAsia="zh-CN"/>
        </w:rPr>
        <w:sectPr>
          <w:pgSz w:w="11906" w:h="16838"/>
          <w:pgMar w:top="1440" w:right="1800" w:bottom="1440" w:left="1800" w:header="851" w:footer="992" w:gutter="0"/>
          <w:cols w:space="425" w:num="1"/>
          <w:docGrid w:type="lines" w:linePitch="312" w:charSpace="0"/>
        </w:sectPr>
      </w:pPr>
    </w:p>
    <w:p>
      <w:pPr>
        <w:rPr>
          <w:rFonts w:hint="eastAsia" w:ascii="仿宋" w:hAnsi="仿宋" w:eastAsia="仿宋"/>
          <w:color w:val="auto"/>
          <w:sz w:val="32"/>
          <w:szCs w:val="28"/>
          <w:lang w:eastAsia="zh-CN"/>
        </w:rPr>
      </w:pPr>
      <w:r>
        <w:rPr>
          <w:rFonts w:hint="eastAsia" w:ascii="仿宋" w:hAnsi="仿宋" w:eastAsia="仿宋"/>
          <w:color w:val="auto"/>
          <w:sz w:val="32"/>
          <w:szCs w:val="28"/>
          <w:lang w:eastAsia="zh-CN"/>
        </w:rPr>
        <w:t>附件：</w:t>
      </w:r>
    </w:p>
    <w:p>
      <w:pPr>
        <w:jc w:val="center"/>
        <w:rPr>
          <w:rFonts w:hint="eastAsia" w:asciiTheme="minorEastAsia" w:hAnsiTheme="minorEastAsia" w:cstheme="minorEastAsia"/>
          <w:b/>
          <w:color w:val="auto"/>
          <w:sz w:val="36"/>
          <w:szCs w:val="36"/>
          <w:lang w:val="en-US" w:eastAsia="zh-CN"/>
        </w:rPr>
      </w:pPr>
      <w:r>
        <w:rPr>
          <w:rFonts w:hint="eastAsia" w:asciiTheme="minorEastAsia" w:hAnsiTheme="minorEastAsia" w:eastAsiaTheme="minorEastAsia" w:cstheme="minorEastAsia"/>
          <w:b/>
          <w:color w:val="auto"/>
          <w:sz w:val="36"/>
          <w:szCs w:val="36"/>
          <w:lang w:val="en-US" w:eastAsia="zh-CN"/>
        </w:rPr>
        <w:t>湖南科技学院2020年</w:t>
      </w:r>
      <w:r>
        <w:rPr>
          <w:rFonts w:hint="eastAsia" w:asciiTheme="minorEastAsia" w:hAnsiTheme="minorEastAsia" w:cstheme="minorEastAsia"/>
          <w:b/>
          <w:color w:val="auto"/>
          <w:sz w:val="36"/>
          <w:szCs w:val="36"/>
          <w:lang w:val="en-US" w:eastAsia="zh-CN"/>
        </w:rPr>
        <w:t>春季学期</w:t>
      </w:r>
      <w:r>
        <w:rPr>
          <w:rFonts w:hint="eastAsia" w:asciiTheme="minorEastAsia" w:hAnsiTheme="minorEastAsia" w:eastAsiaTheme="minorEastAsia" w:cstheme="minorEastAsia"/>
          <w:b/>
          <w:color w:val="auto"/>
          <w:sz w:val="36"/>
          <w:szCs w:val="36"/>
          <w:lang w:val="en-US" w:eastAsia="zh-CN"/>
        </w:rPr>
        <w:t>线上</w:t>
      </w:r>
      <w:r>
        <w:rPr>
          <w:rFonts w:hint="eastAsia" w:asciiTheme="minorEastAsia" w:hAnsiTheme="minorEastAsia" w:cstheme="minorEastAsia"/>
          <w:b/>
          <w:color w:val="auto"/>
          <w:sz w:val="36"/>
          <w:szCs w:val="36"/>
          <w:lang w:val="en-US" w:eastAsia="zh-CN"/>
        </w:rPr>
        <w:t>授课</w:t>
      </w:r>
      <w:r>
        <w:rPr>
          <w:rFonts w:hint="eastAsia" w:asciiTheme="minorEastAsia" w:hAnsiTheme="minorEastAsia" w:eastAsiaTheme="minorEastAsia" w:cstheme="minorEastAsia"/>
          <w:b/>
          <w:color w:val="auto"/>
          <w:sz w:val="36"/>
          <w:szCs w:val="36"/>
          <w:lang w:val="en-US" w:eastAsia="zh-CN"/>
        </w:rPr>
        <w:t>课程</w:t>
      </w:r>
      <w:r>
        <w:rPr>
          <w:rFonts w:hint="eastAsia" w:asciiTheme="minorEastAsia" w:hAnsiTheme="minorEastAsia" w:cstheme="minorEastAsia"/>
          <w:b/>
          <w:color w:val="auto"/>
          <w:sz w:val="36"/>
          <w:szCs w:val="36"/>
          <w:lang w:val="en-US" w:eastAsia="zh-CN"/>
        </w:rPr>
        <w:t>申报表</w:t>
      </w:r>
    </w:p>
    <w:tbl>
      <w:tblPr>
        <w:tblStyle w:val="3"/>
        <w:tblW w:w="13849"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0"/>
        <w:gridCol w:w="2448"/>
        <w:gridCol w:w="2538"/>
        <w:gridCol w:w="2538"/>
        <w:gridCol w:w="2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3830" w:type="dxa"/>
            <w:vMerge w:val="restart"/>
            <w:vAlign w:val="center"/>
          </w:tcPr>
          <w:p>
            <w:pPr>
              <w:jc w:val="center"/>
              <w:rPr>
                <w:rFonts w:hint="eastAsia" w:asciiTheme="minorEastAsia" w:hAnsiTheme="minorEastAsia" w:cstheme="minorEastAsia"/>
                <w:b/>
                <w:color w:val="auto"/>
                <w:sz w:val="28"/>
                <w:szCs w:val="28"/>
                <w:vertAlign w:val="baseline"/>
                <w:lang w:val="en-US" w:eastAsia="zh-CN"/>
              </w:rPr>
            </w:pPr>
            <w:r>
              <w:rPr>
                <w:rFonts w:hint="eastAsia" w:asciiTheme="minorEastAsia" w:hAnsiTheme="minorEastAsia" w:cstheme="minorEastAsia"/>
                <w:b/>
                <w:color w:val="auto"/>
                <w:sz w:val="28"/>
                <w:szCs w:val="28"/>
                <w:lang w:val="en-US" w:eastAsia="zh-CN"/>
              </w:rPr>
              <w:t>学院名称</w:t>
            </w:r>
          </w:p>
        </w:tc>
        <w:tc>
          <w:tcPr>
            <w:tcW w:w="10019" w:type="dxa"/>
            <w:gridSpan w:val="4"/>
            <w:vAlign w:val="center"/>
          </w:tcPr>
          <w:p>
            <w:pPr>
              <w:jc w:val="center"/>
              <w:rPr>
                <w:rFonts w:hint="default" w:asciiTheme="minorEastAsia" w:hAnsiTheme="minorEastAsia" w:cstheme="minorEastAsia"/>
                <w:b/>
                <w:color w:val="auto"/>
                <w:sz w:val="28"/>
                <w:szCs w:val="28"/>
                <w:vertAlign w:val="baseline"/>
                <w:lang w:val="en-US" w:eastAsia="zh-CN"/>
              </w:rPr>
            </w:pPr>
            <w:r>
              <w:rPr>
                <w:rFonts w:hint="eastAsia" w:asciiTheme="minorEastAsia" w:hAnsiTheme="minorEastAsia" w:cstheme="minorEastAsia"/>
                <w:b/>
                <w:color w:val="auto"/>
                <w:sz w:val="28"/>
                <w:szCs w:val="28"/>
                <w:vertAlign w:val="baseline"/>
                <w:lang w:val="en-US" w:eastAsia="zh-CN"/>
              </w:rPr>
              <w:t>专业数量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3830" w:type="dxa"/>
            <w:vMerge w:val="continue"/>
            <w:vAlign w:val="center"/>
          </w:tcPr>
          <w:p>
            <w:pPr>
              <w:jc w:val="center"/>
              <w:rPr>
                <w:rFonts w:hint="eastAsia" w:asciiTheme="minorEastAsia" w:hAnsiTheme="minorEastAsia" w:cstheme="minorEastAsia"/>
                <w:b/>
                <w:color w:val="auto"/>
                <w:sz w:val="28"/>
                <w:szCs w:val="28"/>
                <w:vertAlign w:val="baseline"/>
                <w:lang w:val="en-US" w:eastAsia="zh-CN"/>
              </w:rPr>
            </w:pPr>
          </w:p>
        </w:tc>
        <w:tc>
          <w:tcPr>
            <w:tcW w:w="2448" w:type="dxa"/>
            <w:vAlign w:val="center"/>
          </w:tcPr>
          <w:p>
            <w:pPr>
              <w:jc w:val="center"/>
              <w:rPr>
                <w:rFonts w:hint="eastAsia" w:asciiTheme="minorEastAsia" w:hAnsiTheme="minorEastAsia" w:eastAsiaTheme="minorEastAsia" w:cstheme="minorEastAsia"/>
                <w:b/>
                <w:color w:val="auto"/>
                <w:kern w:val="2"/>
                <w:sz w:val="28"/>
                <w:szCs w:val="28"/>
                <w:vertAlign w:val="baseline"/>
                <w:lang w:val="en-US" w:eastAsia="zh-CN" w:bidi="ar-SA"/>
              </w:rPr>
            </w:pPr>
            <w:r>
              <w:rPr>
                <w:rFonts w:hint="eastAsia" w:asciiTheme="minorEastAsia" w:hAnsiTheme="minorEastAsia" w:cstheme="minorEastAsia"/>
                <w:b/>
                <w:color w:val="auto"/>
                <w:sz w:val="28"/>
                <w:szCs w:val="28"/>
                <w:vertAlign w:val="baseline"/>
                <w:lang w:val="en-US" w:eastAsia="zh-CN"/>
              </w:rPr>
              <w:t>2016级</w:t>
            </w:r>
          </w:p>
        </w:tc>
        <w:tc>
          <w:tcPr>
            <w:tcW w:w="2538" w:type="dxa"/>
            <w:vAlign w:val="center"/>
          </w:tcPr>
          <w:p>
            <w:pPr>
              <w:jc w:val="center"/>
              <w:rPr>
                <w:rFonts w:hint="eastAsia" w:asciiTheme="minorEastAsia" w:hAnsiTheme="minorEastAsia" w:eastAsiaTheme="minorEastAsia" w:cstheme="minorEastAsia"/>
                <w:b/>
                <w:color w:val="auto"/>
                <w:kern w:val="2"/>
                <w:sz w:val="28"/>
                <w:szCs w:val="28"/>
                <w:vertAlign w:val="baseline"/>
                <w:lang w:val="en-US" w:eastAsia="zh-CN" w:bidi="ar-SA"/>
              </w:rPr>
            </w:pPr>
            <w:r>
              <w:rPr>
                <w:rFonts w:hint="eastAsia" w:asciiTheme="minorEastAsia" w:hAnsiTheme="minorEastAsia" w:cstheme="minorEastAsia"/>
                <w:b/>
                <w:color w:val="auto"/>
                <w:sz w:val="28"/>
                <w:szCs w:val="28"/>
                <w:vertAlign w:val="baseline"/>
                <w:lang w:val="en-US" w:eastAsia="zh-CN"/>
              </w:rPr>
              <w:t>2017级</w:t>
            </w:r>
          </w:p>
        </w:tc>
        <w:tc>
          <w:tcPr>
            <w:tcW w:w="2538" w:type="dxa"/>
            <w:vAlign w:val="center"/>
          </w:tcPr>
          <w:p>
            <w:pPr>
              <w:jc w:val="center"/>
              <w:rPr>
                <w:rFonts w:hint="eastAsia" w:asciiTheme="minorEastAsia" w:hAnsiTheme="minorEastAsia" w:eastAsiaTheme="minorEastAsia" w:cstheme="minorEastAsia"/>
                <w:b/>
                <w:color w:val="auto"/>
                <w:kern w:val="2"/>
                <w:sz w:val="28"/>
                <w:szCs w:val="28"/>
                <w:vertAlign w:val="baseline"/>
                <w:lang w:val="en-US" w:eastAsia="zh-CN" w:bidi="ar-SA"/>
              </w:rPr>
            </w:pPr>
            <w:r>
              <w:rPr>
                <w:rFonts w:hint="eastAsia" w:asciiTheme="minorEastAsia" w:hAnsiTheme="minorEastAsia" w:cstheme="minorEastAsia"/>
                <w:b/>
                <w:color w:val="auto"/>
                <w:sz w:val="28"/>
                <w:szCs w:val="28"/>
                <w:vertAlign w:val="baseline"/>
                <w:lang w:val="en-US" w:eastAsia="zh-CN"/>
              </w:rPr>
              <w:t>2018级</w:t>
            </w:r>
          </w:p>
        </w:tc>
        <w:tc>
          <w:tcPr>
            <w:tcW w:w="2495" w:type="dxa"/>
            <w:vAlign w:val="center"/>
          </w:tcPr>
          <w:p>
            <w:pPr>
              <w:jc w:val="center"/>
              <w:rPr>
                <w:rFonts w:hint="eastAsia" w:asciiTheme="minorEastAsia" w:hAnsiTheme="minorEastAsia" w:eastAsiaTheme="minorEastAsia" w:cstheme="minorEastAsia"/>
                <w:b/>
                <w:color w:val="auto"/>
                <w:kern w:val="2"/>
                <w:sz w:val="28"/>
                <w:szCs w:val="28"/>
                <w:vertAlign w:val="baseline"/>
                <w:lang w:val="en-US" w:eastAsia="zh-CN" w:bidi="ar-SA"/>
              </w:rPr>
            </w:pPr>
            <w:r>
              <w:rPr>
                <w:rFonts w:hint="eastAsia" w:asciiTheme="minorEastAsia" w:hAnsiTheme="minorEastAsia" w:cstheme="minorEastAsia"/>
                <w:b/>
                <w:color w:val="auto"/>
                <w:sz w:val="28"/>
                <w:szCs w:val="28"/>
                <w:vertAlign w:val="baseline"/>
                <w:lang w:val="en-US" w:eastAsia="zh-CN"/>
              </w:rPr>
              <w:t>2019级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3830" w:type="dxa"/>
            <w:vAlign w:val="center"/>
          </w:tcPr>
          <w:p>
            <w:pPr>
              <w:jc w:val="center"/>
              <w:rPr>
                <w:rFonts w:hint="eastAsia" w:asciiTheme="minorEastAsia" w:hAnsiTheme="minorEastAsia" w:cstheme="minorEastAsia"/>
                <w:b/>
                <w:color w:val="auto"/>
                <w:sz w:val="28"/>
                <w:szCs w:val="28"/>
                <w:vertAlign w:val="baseline"/>
                <w:lang w:val="en-US" w:eastAsia="zh-CN"/>
              </w:rPr>
            </w:pPr>
          </w:p>
        </w:tc>
        <w:tc>
          <w:tcPr>
            <w:tcW w:w="2448" w:type="dxa"/>
            <w:vAlign w:val="center"/>
          </w:tcPr>
          <w:p>
            <w:pPr>
              <w:jc w:val="center"/>
              <w:rPr>
                <w:rFonts w:hint="eastAsia" w:asciiTheme="minorEastAsia" w:hAnsiTheme="minorEastAsia" w:cstheme="minorEastAsia"/>
                <w:b/>
                <w:color w:val="auto"/>
                <w:sz w:val="28"/>
                <w:szCs w:val="28"/>
                <w:vertAlign w:val="baseline"/>
                <w:lang w:val="en-US" w:eastAsia="zh-CN"/>
              </w:rPr>
            </w:pPr>
          </w:p>
        </w:tc>
        <w:tc>
          <w:tcPr>
            <w:tcW w:w="2538" w:type="dxa"/>
            <w:vAlign w:val="center"/>
          </w:tcPr>
          <w:p>
            <w:pPr>
              <w:jc w:val="center"/>
              <w:rPr>
                <w:rFonts w:hint="eastAsia" w:asciiTheme="minorEastAsia" w:hAnsiTheme="minorEastAsia" w:cstheme="minorEastAsia"/>
                <w:b/>
                <w:color w:val="auto"/>
                <w:sz w:val="28"/>
                <w:szCs w:val="28"/>
                <w:vertAlign w:val="baseline"/>
                <w:lang w:val="en-US" w:eastAsia="zh-CN"/>
              </w:rPr>
            </w:pPr>
          </w:p>
        </w:tc>
        <w:tc>
          <w:tcPr>
            <w:tcW w:w="2538" w:type="dxa"/>
            <w:vAlign w:val="center"/>
          </w:tcPr>
          <w:p>
            <w:pPr>
              <w:jc w:val="center"/>
              <w:rPr>
                <w:rFonts w:hint="eastAsia" w:asciiTheme="minorEastAsia" w:hAnsiTheme="minorEastAsia" w:cstheme="minorEastAsia"/>
                <w:b/>
                <w:color w:val="auto"/>
                <w:sz w:val="28"/>
                <w:szCs w:val="28"/>
                <w:vertAlign w:val="baseline"/>
                <w:lang w:val="en-US" w:eastAsia="zh-CN"/>
              </w:rPr>
            </w:pPr>
          </w:p>
        </w:tc>
        <w:tc>
          <w:tcPr>
            <w:tcW w:w="2495" w:type="dxa"/>
            <w:vAlign w:val="center"/>
          </w:tcPr>
          <w:p>
            <w:pPr>
              <w:jc w:val="center"/>
              <w:rPr>
                <w:rFonts w:hint="eastAsia" w:asciiTheme="minorEastAsia" w:hAnsiTheme="minorEastAsia" w:cstheme="minorEastAsia"/>
                <w:b/>
                <w:color w:val="auto"/>
                <w:sz w:val="28"/>
                <w:szCs w:val="28"/>
                <w:vertAlign w:val="baseline"/>
                <w:lang w:val="en-US" w:eastAsia="zh-CN"/>
              </w:rPr>
            </w:pPr>
          </w:p>
        </w:tc>
      </w:tr>
    </w:tbl>
    <w:p>
      <w:pPr>
        <w:jc w:val="center"/>
        <w:rPr>
          <w:rFonts w:hint="eastAsia" w:asciiTheme="minorEastAsia" w:hAnsiTheme="minorEastAsia" w:cstheme="minorEastAsia"/>
          <w:b/>
          <w:color w:val="auto"/>
          <w:sz w:val="28"/>
          <w:szCs w:val="28"/>
          <w:lang w:val="en-US" w:eastAsia="zh-CN"/>
        </w:rPr>
      </w:pPr>
    </w:p>
    <w:tbl>
      <w:tblPr>
        <w:tblStyle w:val="3"/>
        <w:tblW w:w="13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3794"/>
        <w:gridCol w:w="855"/>
        <w:gridCol w:w="1500"/>
        <w:gridCol w:w="2895"/>
        <w:gridCol w:w="1379"/>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jc w:val="center"/>
              <w:rPr>
                <w:rFonts w:hint="eastAsia" w:ascii="仿宋" w:hAnsi="仿宋" w:eastAsia="仿宋"/>
                <w:color w:val="auto"/>
                <w:sz w:val="28"/>
                <w:szCs w:val="28"/>
                <w:vertAlign w:val="baseline"/>
                <w:lang w:val="en-US" w:eastAsia="zh-CN"/>
              </w:rPr>
            </w:pPr>
            <w:r>
              <w:rPr>
                <w:rFonts w:hint="eastAsia" w:ascii="仿宋" w:hAnsi="仿宋" w:eastAsia="仿宋"/>
                <w:color w:val="auto"/>
                <w:sz w:val="28"/>
                <w:szCs w:val="28"/>
                <w:vertAlign w:val="baseline"/>
                <w:lang w:val="en-US" w:eastAsia="zh-CN"/>
              </w:rPr>
              <w:t>序号</w:t>
            </w:r>
          </w:p>
        </w:tc>
        <w:tc>
          <w:tcPr>
            <w:tcW w:w="3794" w:type="dxa"/>
            <w:vAlign w:val="center"/>
          </w:tcPr>
          <w:p>
            <w:pPr>
              <w:jc w:val="center"/>
              <w:rPr>
                <w:rFonts w:hint="eastAsia" w:ascii="仿宋" w:hAnsi="仿宋" w:eastAsia="仿宋"/>
                <w:color w:val="auto"/>
                <w:sz w:val="28"/>
                <w:szCs w:val="28"/>
                <w:vertAlign w:val="baseline"/>
                <w:lang w:val="en-US" w:eastAsia="zh-CN"/>
              </w:rPr>
            </w:pPr>
            <w:r>
              <w:rPr>
                <w:rFonts w:hint="eastAsia" w:ascii="仿宋" w:hAnsi="仿宋" w:eastAsia="仿宋"/>
                <w:color w:val="auto"/>
                <w:sz w:val="28"/>
                <w:szCs w:val="28"/>
                <w:vertAlign w:val="baseline"/>
                <w:lang w:val="en-US" w:eastAsia="zh-CN"/>
              </w:rPr>
              <w:t>课程名称</w:t>
            </w:r>
          </w:p>
        </w:tc>
        <w:tc>
          <w:tcPr>
            <w:tcW w:w="855" w:type="dxa"/>
            <w:vAlign w:val="center"/>
          </w:tcPr>
          <w:p>
            <w:pPr>
              <w:jc w:val="center"/>
              <w:rPr>
                <w:rFonts w:hint="eastAsia" w:ascii="仿宋" w:hAnsi="仿宋" w:eastAsia="仿宋"/>
                <w:color w:val="auto"/>
                <w:sz w:val="28"/>
                <w:szCs w:val="28"/>
                <w:vertAlign w:val="baseline"/>
                <w:lang w:val="en-US" w:eastAsia="zh-CN"/>
              </w:rPr>
            </w:pPr>
            <w:r>
              <w:rPr>
                <w:rFonts w:hint="eastAsia" w:ascii="仿宋" w:hAnsi="仿宋" w:eastAsia="仿宋"/>
                <w:color w:val="auto"/>
                <w:sz w:val="28"/>
                <w:szCs w:val="28"/>
                <w:vertAlign w:val="baseline"/>
                <w:lang w:val="en-US" w:eastAsia="zh-CN"/>
              </w:rPr>
              <w:t>课时</w:t>
            </w:r>
          </w:p>
        </w:tc>
        <w:tc>
          <w:tcPr>
            <w:tcW w:w="1500" w:type="dxa"/>
            <w:vAlign w:val="center"/>
          </w:tcPr>
          <w:p>
            <w:pPr>
              <w:jc w:val="center"/>
              <w:rPr>
                <w:rFonts w:hint="eastAsia" w:ascii="仿宋" w:hAnsi="仿宋" w:eastAsia="仿宋" w:cstheme="minorBidi"/>
                <w:color w:val="auto"/>
                <w:kern w:val="2"/>
                <w:sz w:val="28"/>
                <w:szCs w:val="28"/>
                <w:vertAlign w:val="baseline"/>
                <w:lang w:val="en-US" w:eastAsia="zh-CN" w:bidi="ar-SA"/>
              </w:rPr>
            </w:pPr>
            <w:r>
              <w:rPr>
                <w:rFonts w:hint="eastAsia" w:ascii="仿宋" w:hAnsi="仿宋" w:eastAsia="仿宋"/>
                <w:color w:val="auto"/>
                <w:sz w:val="28"/>
                <w:szCs w:val="28"/>
                <w:vertAlign w:val="baseline"/>
                <w:lang w:val="en-US" w:eastAsia="zh-CN"/>
              </w:rPr>
              <w:t>主讲教师</w:t>
            </w:r>
          </w:p>
        </w:tc>
        <w:tc>
          <w:tcPr>
            <w:tcW w:w="2895" w:type="dxa"/>
            <w:vAlign w:val="center"/>
          </w:tcPr>
          <w:p>
            <w:pPr>
              <w:jc w:val="center"/>
              <w:rPr>
                <w:rFonts w:hint="eastAsia" w:ascii="仿宋" w:hAnsi="仿宋" w:eastAsia="仿宋"/>
                <w:color w:val="auto"/>
                <w:sz w:val="28"/>
                <w:szCs w:val="28"/>
                <w:vertAlign w:val="baseline"/>
                <w:lang w:val="en-US" w:eastAsia="zh-CN"/>
              </w:rPr>
            </w:pPr>
            <w:r>
              <w:rPr>
                <w:rFonts w:hint="eastAsia" w:ascii="仿宋" w:hAnsi="仿宋" w:eastAsia="仿宋"/>
                <w:color w:val="auto"/>
                <w:sz w:val="28"/>
                <w:szCs w:val="28"/>
                <w:vertAlign w:val="baseline"/>
                <w:lang w:val="en-US" w:eastAsia="zh-CN"/>
              </w:rPr>
              <w:t>参与教师</w:t>
            </w:r>
          </w:p>
        </w:tc>
        <w:tc>
          <w:tcPr>
            <w:tcW w:w="1379" w:type="dxa"/>
            <w:vAlign w:val="center"/>
          </w:tcPr>
          <w:p>
            <w:pPr>
              <w:jc w:val="center"/>
              <w:rPr>
                <w:rFonts w:hint="eastAsia" w:ascii="仿宋" w:hAnsi="仿宋" w:eastAsia="仿宋" w:cstheme="minorBidi"/>
                <w:color w:val="auto"/>
                <w:kern w:val="2"/>
                <w:sz w:val="28"/>
                <w:szCs w:val="28"/>
                <w:vertAlign w:val="baseline"/>
                <w:lang w:val="en-US" w:eastAsia="zh-CN" w:bidi="ar-SA"/>
              </w:rPr>
            </w:pPr>
            <w:r>
              <w:rPr>
                <w:rFonts w:hint="eastAsia" w:ascii="仿宋" w:hAnsi="仿宋" w:eastAsia="仿宋"/>
                <w:color w:val="auto"/>
                <w:sz w:val="28"/>
                <w:szCs w:val="28"/>
                <w:vertAlign w:val="baseline"/>
                <w:lang w:val="en-US" w:eastAsia="zh-CN"/>
              </w:rPr>
              <w:t>上课年级</w:t>
            </w:r>
          </w:p>
        </w:tc>
        <w:tc>
          <w:tcPr>
            <w:tcW w:w="2610" w:type="dxa"/>
            <w:vAlign w:val="center"/>
          </w:tcPr>
          <w:p>
            <w:pPr>
              <w:jc w:val="center"/>
              <w:rPr>
                <w:rFonts w:hint="eastAsia" w:ascii="仿宋" w:hAnsi="仿宋" w:eastAsia="仿宋" w:cstheme="minorBidi"/>
                <w:color w:val="auto"/>
                <w:kern w:val="2"/>
                <w:sz w:val="28"/>
                <w:szCs w:val="28"/>
                <w:vertAlign w:val="baseline"/>
                <w:lang w:val="en-US" w:eastAsia="zh-CN" w:bidi="ar-SA"/>
              </w:rPr>
            </w:pPr>
            <w:r>
              <w:rPr>
                <w:rFonts w:hint="eastAsia" w:ascii="仿宋" w:hAnsi="仿宋" w:eastAsia="仿宋"/>
                <w:color w:val="auto"/>
                <w:sz w:val="28"/>
                <w:szCs w:val="28"/>
                <w:vertAlign w:val="baseline"/>
                <w:lang w:val="en-US" w:eastAsia="zh-CN"/>
              </w:rPr>
              <w:t>上课专业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jc w:val="center"/>
              <w:rPr>
                <w:rFonts w:hint="eastAsia" w:ascii="仿宋" w:hAnsi="仿宋" w:eastAsia="仿宋"/>
                <w:color w:val="auto"/>
                <w:sz w:val="28"/>
                <w:szCs w:val="28"/>
                <w:vertAlign w:val="baseline"/>
                <w:lang w:val="en-US" w:eastAsia="zh-CN"/>
              </w:rPr>
            </w:pPr>
          </w:p>
        </w:tc>
        <w:tc>
          <w:tcPr>
            <w:tcW w:w="3794" w:type="dxa"/>
            <w:vAlign w:val="center"/>
          </w:tcPr>
          <w:p>
            <w:pPr>
              <w:jc w:val="center"/>
              <w:rPr>
                <w:rFonts w:hint="eastAsia" w:ascii="仿宋" w:hAnsi="仿宋" w:eastAsia="仿宋"/>
                <w:color w:val="auto"/>
                <w:sz w:val="28"/>
                <w:szCs w:val="28"/>
                <w:vertAlign w:val="baseline"/>
                <w:lang w:val="en-US" w:eastAsia="zh-CN"/>
              </w:rPr>
            </w:pPr>
          </w:p>
        </w:tc>
        <w:tc>
          <w:tcPr>
            <w:tcW w:w="855" w:type="dxa"/>
            <w:vAlign w:val="center"/>
          </w:tcPr>
          <w:p>
            <w:pPr>
              <w:jc w:val="center"/>
              <w:rPr>
                <w:rFonts w:hint="eastAsia" w:ascii="仿宋" w:hAnsi="仿宋" w:eastAsia="仿宋"/>
                <w:color w:val="auto"/>
                <w:sz w:val="28"/>
                <w:szCs w:val="28"/>
                <w:vertAlign w:val="baseline"/>
                <w:lang w:val="en-US" w:eastAsia="zh-CN"/>
              </w:rPr>
            </w:pPr>
          </w:p>
        </w:tc>
        <w:tc>
          <w:tcPr>
            <w:tcW w:w="1500" w:type="dxa"/>
            <w:vAlign w:val="center"/>
          </w:tcPr>
          <w:p>
            <w:pPr>
              <w:jc w:val="center"/>
              <w:rPr>
                <w:rFonts w:hint="eastAsia" w:ascii="仿宋" w:hAnsi="仿宋" w:eastAsia="仿宋"/>
                <w:color w:val="auto"/>
                <w:sz w:val="28"/>
                <w:szCs w:val="28"/>
                <w:vertAlign w:val="baseline"/>
                <w:lang w:val="en-US" w:eastAsia="zh-CN"/>
              </w:rPr>
            </w:pPr>
          </w:p>
        </w:tc>
        <w:tc>
          <w:tcPr>
            <w:tcW w:w="2895" w:type="dxa"/>
            <w:vAlign w:val="center"/>
          </w:tcPr>
          <w:p>
            <w:pPr>
              <w:jc w:val="center"/>
              <w:rPr>
                <w:rFonts w:hint="eastAsia" w:ascii="仿宋" w:hAnsi="仿宋" w:eastAsia="仿宋"/>
                <w:color w:val="auto"/>
                <w:sz w:val="28"/>
                <w:szCs w:val="28"/>
                <w:vertAlign w:val="baseline"/>
                <w:lang w:val="en-US" w:eastAsia="zh-CN"/>
              </w:rPr>
            </w:pPr>
          </w:p>
        </w:tc>
        <w:tc>
          <w:tcPr>
            <w:tcW w:w="1379" w:type="dxa"/>
            <w:vAlign w:val="center"/>
          </w:tcPr>
          <w:p>
            <w:pPr>
              <w:jc w:val="center"/>
              <w:rPr>
                <w:rFonts w:hint="eastAsia" w:ascii="仿宋" w:hAnsi="仿宋" w:eastAsia="仿宋"/>
                <w:color w:val="auto"/>
                <w:sz w:val="28"/>
                <w:szCs w:val="28"/>
                <w:vertAlign w:val="baseline"/>
                <w:lang w:val="en-US" w:eastAsia="zh-CN"/>
              </w:rPr>
            </w:pPr>
          </w:p>
        </w:tc>
        <w:tc>
          <w:tcPr>
            <w:tcW w:w="2610" w:type="dxa"/>
            <w:vAlign w:val="center"/>
          </w:tcPr>
          <w:p>
            <w:pPr>
              <w:jc w:val="center"/>
              <w:rPr>
                <w:rFonts w:hint="eastAsia" w:ascii="仿宋" w:hAnsi="仿宋" w:eastAsia="仿宋"/>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jc w:val="center"/>
              <w:rPr>
                <w:rFonts w:hint="eastAsia" w:ascii="仿宋" w:hAnsi="仿宋" w:eastAsia="仿宋"/>
                <w:color w:val="auto"/>
                <w:sz w:val="28"/>
                <w:szCs w:val="28"/>
                <w:vertAlign w:val="baseline"/>
                <w:lang w:val="en-US" w:eastAsia="zh-CN"/>
              </w:rPr>
            </w:pPr>
          </w:p>
        </w:tc>
        <w:tc>
          <w:tcPr>
            <w:tcW w:w="3794" w:type="dxa"/>
            <w:vAlign w:val="center"/>
          </w:tcPr>
          <w:p>
            <w:pPr>
              <w:jc w:val="center"/>
              <w:rPr>
                <w:rFonts w:hint="eastAsia" w:ascii="仿宋" w:hAnsi="仿宋" w:eastAsia="仿宋"/>
                <w:color w:val="auto"/>
                <w:sz w:val="28"/>
                <w:szCs w:val="28"/>
                <w:vertAlign w:val="baseline"/>
                <w:lang w:val="en-US" w:eastAsia="zh-CN"/>
              </w:rPr>
            </w:pPr>
          </w:p>
        </w:tc>
        <w:tc>
          <w:tcPr>
            <w:tcW w:w="855" w:type="dxa"/>
            <w:vAlign w:val="center"/>
          </w:tcPr>
          <w:p>
            <w:pPr>
              <w:jc w:val="center"/>
              <w:rPr>
                <w:rFonts w:hint="eastAsia" w:ascii="仿宋" w:hAnsi="仿宋" w:eastAsia="仿宋"/>
                <w:color w:val="auto"/>
                <w:sz w:val="28"/>
                <w:szCs w:val="28"/>
                <w:vertAlign w:val="baseline"/>
                <w:lang w:val="en-US" w:eastAsia="zh-CN"/>
              </w:rPr>
            </w:pPr>
          </w:p>
        </w:tc>
        <w:tc>
          <w:tcPr>
            <w:tcW w:w="1500" w:type="dxa"/>
            <w:vAlign w:val="center"/>
          </w:tcPr>
          <w:p>
            <w:pPr>
              <w:jc w:val="center"/>
              <w:rPr>
                <w:rFonts w:hint="eastAsia" w:ascii="仿宋" w:hAnsi="仿宋" w:eastAsia="仿宋"/>
                <w:color w:val="auto"/>
                <w:sz w:val="28"/>
                <w:szCs w:val="28"/>
                <w:vertAlign w:val="baseline"/>
                <w:lang w:val="en-US" w:eastAsia="zh-CN"/>
              </w:rPr>
            </w:pPr>
          </w:p>
        </w:tc>
        <w:tc>
          <w:tcPr>
            <w:tcW w:w="2895" w:type="dxa"/>
            <w:vAlign w:val="center"/>
          </w:tcPr>
          <w:p>
            <w:pPr>
              <w:jc w:val="center"/>
              <w:rPr>
                <w:rFonts w:hint="eastAsia" w:ascii="仿宋" w:hAnsi="仿宋" w:eastAsia="仿宋"/>
                <w:color w:val="auto"/>
                <w:sz w:val="28"/>
                <w:szCs w:val="28"/>
                <w:vertAlign w:val="baseline"/>
                <w:lang w:val="en-US" w:eastAsia="zh-CN"/>
              </w:rPr>
            </w:pPr>
          </w:p>
        </w:tc>
        <w:tc>
          <w:tcPr>
            <w:tcW w:w="1379" w:type="dxa"/>
            <w:vAlign w:val="center"/>
          </w:tcPr>
          <w:p>
            <w:pPr>
              <w:jc w:val="center"/>
              <w:rPr>
                <w:rFonts w:hint="eastAsia" w:ascii="仿宋" w:hAnsi="仿宋" w:eastAsia="仿宋"/>
                <w:color w:val="auto"/>
                <w:sz w:val="28"/>
                <w:szCs w:val="28"/>
                <w:vertAlign w:val="baseline"/>
                <w:lang w:val="en-US" w:eastAsia="zh-CN"/>
              </w:rPr>
            </w:pPr>
          </w:p>
        </w:tc>
        <w:tc>
          <w:tcPr>
            <w:tcW w:w="2610" w:type="dxa"/>
            <w:vAlign w:val="center"/>
          </w:tcPr>
          <w:p>
            <w:pPr>
              <w:jc w:val="center"/>
              <w:rPr>
                <w:rFonts w:hint="eastAsia" w:ascii="仿宋" w:hAnsi="仿宋" w:eastAsia="仿宋"/>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jc w:val="center"/>
              <w:rPr>
                <w:rFonts w:hint="eastAsia" w:ascii="仿宋" w:hAnsi="仿宋" w:eastAsia="仿宋"/>
                <w:color w:val="auto"/>
                <w:sz w:val="28"/>
                <w:szCs w:val="28"/>
                <w:vertAlign w:val="baseline"/>
                <w:lang w:val="en-US" w:eastAsia="zh-CN"/>
              </w:rPr>
            </w:pPr>
          </w:p>
        </w:tc>
        <w:tc>
          <w:tcPr>
            <w:tcW w:w="3794" w:type="dxa"/>
            <w:vAlign w:val="center"/>
          </w:tcPr>
          <w:p>
            <w:pPr>
              <w:jc w:val="center"/>
              <w:rPr>
                <w:rFonts w:hint="eastAsia" w:ascii="仿宋" w:hAnsi="仿宋" w:eastAsia="仿宋"/>
                <w:color w:val="auto"/>
                <w:sz w:val="28"/>
                <w:szCs w:val="28"/>
                <w:vertAlign w:val="baseline"/>
                <w:lang w:val="en-US" w:eastAsia="zh-CN"/>
              </w:rPr>
            </w:pPr>
          </w:p>
        </w:tc>
        <w:tc>
          <w:tcPr>
            <w:tcW w:w="855" w:type="dxa"/>
            <w:vAlign w:val="center"/>
          </w:tcPr>
          <w:p>
            <w:pPr>
              <w:jc w:val="center"/>
              <w:rPr>
                <w:rFonts w:hint="eastAsia" w:ascii="仿宋" w:hAnsi="仿宋" w:eastAsia="仿宋"/>
                <w:color w:val="auto"/>
                <w:sz w:val="28"/>
                <w:szCs w:val="28"/>
                <w:vertAlign w:val="baseline"/>
                <w:lang w:val="en-US" w:eastAsia="zh-CN"/>
              </w:rPr>
            </w:pPr>
          </w:p>
        </w:tc>
        <w:tc>
          <w:tcPr>
            <w:tcW w:w="1500" w:type="dxa"/>
            <w:vAlign w:val="center"/>
          </w:tcPr>
          <w:p>
            <w:pPr>
              <w:jc w:val="center"/>
              <w:rPr>
                <w:rFonts w:hint="eastAsia" w:ascii="仿宋" w:hAnsi="仿宋" w:eastAsia="仿宋"/>
                <w:color w:val="auto"/>
                <w:sz w:val="28"/>
                <w:szCs w:val="28"/>
                <w:vertAlign w:val="baseline"/>
                <w:lang w:val="en-US" w:eastAsia="zh-CN"/>
              </w:rPr>
            </w:pPr>
          </w:p>
        </w:tc>
        <w:tc>
          <w:tcPr>
            <w:tcW w:w="2895" w:type="dxa"/>
            <w:vAlign w:val="center"/>
          </w:tcPr>
          <w:p>
            <w:pPr>
              <w:jc w:val="center"/>
              <w:rPr>
                <w:rFonts w:hint="eastAsia" w:ascii="仿宋" w:hAnsi="仿宋" w:eastAsia="仿宋"/>
                <w:color w:val="auto"/>
                <w:sz w:val="28"/>
                <w:szCs w:val="28"/>
                <w:vertAlign w:val="baseline"/>
                <w:lang w:val="en-US" w:eastAsia="zh-CN"/>
              </w:rPr>
            </w:pPr>
          </w:p>
        </w:tc>
        <w:tc>
          <w:tcPr>
            <w:tcW w:w="1379" w:type="dxa"/>
            <w:vAlign w:val="center"/>
          </w:tcPr>
          <w:p>
            <w:pPr>
              <w:jc w:val="center"/>
              <w:rPr>
                <w:rFonts w:hint="eastAsia" w:ascii="仿宋" w:hAnsi="仿宋" w:eastAsia="仿宋"/>
                <w:color w:val="auto"/>
                <w:sz w:val="28"/>
                <w:szCs w:val="28"/>
                <w:vertAlign w:val="baseline"/>
                <w:lang w:val="en-US" w:eastAsia="zh-CN"/>
              </w:rPr>
            </w:pPr>
          </w:p>
        </w:tc>
        <w:tc>
          <w:tcPr>
            <w:tcW w:w="2610" w:type="dxa"/>
            <w:vAlign w:val="center"/>
          </w:tcPr>
          <w:p>
            <w:pPr>
              <w:jc w:val="center"/>
              <w:rPr>
                <w:rFonts w:hint="eastAsia" w:ascii="仿宋" w:hAnsi="仿宋" w:eastAsia="仿宋"/>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jc w:val="center"/>
              <w:rPr>
                <w:rFonts w:hint="eastAsia" w:ascii="仿宋" w:hAnsi="仿宋" w:eastAsia="仿宋"/>
                <w:color w:val="auto"/>
                <w:sz w:val="28"/>
                <w:szCs w:val="28"/>
                <w:vertAlign w:val="baseline"/>
                <w:lang w:val="en-US" w:eastAsia="zh-CN"/>
              </w:rPr>
            </w:pPr>
          </w:p>
        </w:tc>
        <w:tc>
          <w:tcPr>
            <w:tcW w:w="3794" w:type="dxa"/>
            <w:vAlign w:val="center"/>
          </w:tcPr>
          <w:p>
            <w:pPr>
              <w:jc w:val="center"/>
              <w:rPr>
                <w:rFonts w:hint="eastAsia" w:ascii="仿宋" w:hAnsi="仿宋" w:eastAsia="仿宋"/>
                <w:color w:val="auto"/>
                <w:sz w:val="28"/>
                <w:szCs w:val="28"/>
                <w:vertAlign w:val="baseline"/>
                <w:lang w:val="en-US" w:eastAsia="zh-CN"/>
              </w:rPr>
            </w:pPr>
          </w:p>
        </w:tc>
        <w:tc>
          <w:tcPr>
            <w:tcW w:w="855" w:type="dxa"/>
            <w:vAlign w:val="center"/>
          </w:tcPr>
          <w:p>
            <w:pPr>
              <w:jc w:val="center"/>
              <w:rPr>
                <w:rFonts w:hint="eastAsia" w:ascii="仿宋" w:hAnsi="仿宋" w:eastAsia="仿宋"/>
                <w:color w:val="auto"/>
                <w:sz w:val="28"/>
                <w:szCs w:val="28"/>
                <w:vertAlign w:val="baseline"/>
                <w:lang w:val="en-US" w:eastAsia="zh-CN"/>
              </w:rPr>
            </w:pPr>
          </w:p>
        </w:tc>
        <w:tc>
          <w:tcPr>
            <w:tcW w:w="1500" w:type="dxa"/>
            <w:vAlign w:val="center"/>
          </w:tcPr>
          <w:p>
            <w:pPr>
              <w:jc w:val="center"/>
              <w:rPr>
                <w:rFonts w:hint="eastAsia" w:ascii="仿宋" w:hAnsi="仿宋" w:eastAsia="仿宋"/>
                <w:color w:val="auto"/>
                <w:sz w:val="28"/>
                <w:szCs w:val="28"/>
                <w:vertAlign w:val="baseline"/>
                <w:lang w:val="en-US" w:eastAsia="zh-CN"/>
              </w:rPr>
            </w:pPr>
          </w:p>
        </w:tc>
        <w:tc>
          <w:tcPr>
            <w:tcW w:w="2895" w:type="dxa"/>
            <w:vAlign w:val="center"/>
          </w:tcPr>
          <w:p>
            <w:pPr>
              <w:jc w:val="center"/>
              <w:rPr>
                <w:rFonts w:hint="eastAsia" w:ascii="仿宋" w:hAnsi="仿宋" w:eastAsia="仿宋"/>
                <w:color w:val="auto"/>
                <w:sz w:val="28"/>
                <w:szCs w:val="28"/>
                <w:vertAlign w:val="baseline"/>
                <w:lang w:val="en-US" w:eastAsia="zh-CN"/>
              </w:rPr>
            </w:pPr>
          </w:p>
        </w:tc>
        <w:tc>
          <w:tcPr>
            <w:tcW w:w="1379" w:type="dxa"/>
            <w:vAlign w:val="center"/>
          </w:tcPr>
          <w:p>
            <w:pPr>
              <w:jc w:val="center"/>
              <w:rPr>
                <w:rFonts w:hint="eastAsia" w:ascii="仿宋" w:hAnsi="仿宋" w:eastAsia="仿宋"/>
                <w:color w:val="auto"/>
                <w:sz w:val="28"/>
                <w:szCs w:val="28"/>
                <w:vertAlign w:val="baseline"/>
                <w:lang w:val="en-US" w:eastAsia="zh-CN"/>
              </w:rPr>
            </w:pPr>
          </w:p>
        </w:tc>
        <w:tc>
          <w:tcPr>
            <w:tcW w:w="2610" w:type="dxa"/>
            <w:vAlign w:val="center"/>
          </w:tcPr>
          <w:p>
            <w:pPr>
              <w:jc w:val="center"/>
              <w:rPr>
                <w:rFonts w:hint="eastAsia" w:ascii="仿宋" w:hAnsi="仿宋" w:eastAsia="仿宋"/>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jc w:val="center"/>
              <w:rPr>
                <w:rFonts w:hint="eastAsia" w:ascii="仿宋" w:hAnsi="仿宋" w:eastAsia="仿宋"/>
                <w:color w:val="auto"/>
                <w:sz w:val="28"/>
                <w:szCs w:val="28"/>
                <w:vertAlign w:val="baseline"/>
                <w:lang w:val="en-US" w:eastAsia="zh-CN"/>
              </w:rPr>
            </w:pPr>
          </w:p>
        </w:tc>
        <w:tc>
          <w:tcPr>
            <w:tcW w:w="3794" w:type="dxa"/>
            <w:vAlign w:val="center"/>
          </w:tcPr>
          <w:p>
            <w:pPr>
              <w:jc w:val="center"/>
              <w:rPr>
                <w:rFonts w:hint="eastAsia" w:ascii="仿宋" w:hAnsi="仿宋" w:eastAsia="仿宋"/>
                <w:color w:val="auto"/>
                <w:sz w:val="28"/>
                <w:szCs w:val="28"/>
                <w:vertAlign w:val="baseline"/>
                <w:lang w:val="en-US" w:eastAsia="zh-CN"/>
              </w:rPr>
            </w:pPr>
          </w:p>
        </w:tc>
        <w:tc>
          <w:tcPr>
            <w:tcW w:w="855" w:type="dxa"/>
            <w:vAlign w:val="center"/>
          </w:tcPr>
          <w:p>
            <w:pPr>
              <w:jc w:val="center"/>
              <w:rPr>
                <w:rFonts w:hint="eastAsia" w:ascii="仿宋" w:hAnsi="仿宋" w:eastAsia="仿宋"/>
                <w:color w:val="auto"/>
                <w:sz w:val="28"/>
                <w:szCs w:val="28"/>
                <w:vertAlign w:val="baseline"/>
                <w:lang w:val="en-US" w:eastAsia="zh-CN"/>
              </w:rPr>
            </w:pPr>
          </w:p>
        </w:tc>
        <w:tc>
          <w:tcPr>
            <w:tcW w:w="1500" w:type="dxa"/>
            <w:vAlign w:val="center"/>
          </w:tcPr>
          <w:p>
            <w:pPr>
              <w:jc w:val="center"/>
              <w:rPr>
                <w:rFonts w:hint="eastAsia" w:ascii="仿宋" w:hAnsi="仿宋" w:eastAsia="仿宋"/>
                <w:color w:val="auto"/>
                <w:sz w:val="28"/>
                <w:szCs w:val="28"/>
                <w:vertAlign w:val="baseline"/>
                <w:lang w:val="en-US" w:eastAsia="zh-CN"/>
              </w:rPr>
            </w:pPr>
          </w:p>
        </w:tc>
        <w:tc>
          <w:tcPr>
            <w:tcW w:w="2895" w:type="dxa"/>
            <w:vAlign w:val="center"/>
          </w:tcPr>
          <w:p>
            <w:pPr>
              <w:jc w:val="center"/>
              <w:rPr>
                <w:rFonts w:hint="eastAsia" w:ascii="仿宋" w:hAnsi="仿宋" w:eastAsia="仿宋"/>
                <w:color w:val="auto"/>
                <w:sz w:val="28"/>
                <w:szCs w:val="28"/>
                <w:vertAlign w:val="baseline"/>
                <w:lang w:val="en-US" w:eastAsia="zh-CN"/>
              </w:rPr>
            </w:pPr>
          </w:p>
        </w:tc>
        <w:tc>
          <w:tcPr>
            <w:tcW w:w="1379" w:type="dxa"/>
            <w:vAlign w:val="center"/>
          </w:tcPr>
          <w:p>
            <w:pPr>
              <w:jc w:val="center"/>
              <w:rPr>
                <w:rFonts w:hint="eastAsia" w:ascii="仿宋" w:hAnsi="仿宋" w:eastAsia="仿宋"/>
                <w:color w:val="auto"/>
                <w:sz w:val="28"/>
                <w:szCs w:val="28"/>
                <w:vertAlign w:val="baseline"/>
                <w:lang w:val="en-US" w:eastAsia="zh-CN"/>
              </w:rPr>
            </w:pPr>
          </w:p>
        </w:tc>
        <w:tc>
          <w:tcPr>
            <w:tcW w:w="2610" w:type="dxa"/>
            <w:vAlign w:val="center"/>
          </w:tcPr>
          <w:p>
            <w:pPr>
              <w:jc w:val="center"/>
              <w:rPr>
                <w:rFonts w:hint="eastAsia" w:ascii="仿宋" w:hAnsi="仿宋" w:eastAsia="仿宋"/>
                <w:color w:val="auto"/>
                <w:sz w:val="28"/>
                <w:szCs w:val="28"/>
                <w:vertAlign w:val="baseline"/>
                <w:lang w:val="en-US" w:eastAsia="zh-CN"/>
              </w:rPr>
            </w:pPr>
          </w:p>
        </w:tc>
      </w:tr>
    </w:tbl>
    <w:p>
      <w:pPr>
        <w:ind w:firstLine="640" w:firstLineChars="200"/>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注：可根据需要自行添加行。</w:t>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E5890A"/>
    <w:multiLevelType w:val="singleLevel"/>
    <w:tmpl w:val="93E5890A"/>
    <w:lvl w:ilvl="0" w:tentative="0">
      <w:start w:val="1"/>
      <w:numFmt w:val="decimal"/>
      <w:suff w:val="nothing"/>
      <w:lvlText w:val="%1、"/>
      <w:lvlJc w:val="left"/>
    </w:lvl>
  </w:abstractNum>
  <w:abstractNum w:abstractNumId="1">
    <w:nsid w:val="571DEE31"/>
    <w:multiLevelType w:val="singleLevel"/>
    <w:tmpl w:val="571DEE31"/>
    <w:lvl w:ilvl="0" w:tentative="0">
      <w:start w:val="2"/>
      <w:numFmt w:val="chineseCounting"/>
      <w:suff w:val="nothing"/>
      <w:lvlText w:val="%1、"/>
      <w:lvlJc w:val="left"/>
      <w:rPr>
        <w:rFonts w:hint="eastAsia"/>
      </w:rPr>
    </w:lvl>
  </w:abstractNum>
  <w:abstractNum w:abstractNumId="2">
    <w:nsid w:val="68BF98BA"/>
    <w:multiLevelType w:val="singleLevel"/>
    <w:tmpl w:val="68BF98BA"/>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1E1FB4"/>
    <w:rsid w:val="01302035"/>
    <w:rsid w:val="076F3AC8"/>
    <w:rsid w:val="246647EF"/>
    <w:rsid w:val="2F3E60F0"/>
    <w:rsid w:val="30954264"/>
    <w:rsid w:val="377C28AC"/>
    <w:rsid w:val="3E8C743B"/>
    <w:rsid w:val="596F5B03"/>
    <w:rsid w:val="5BF66F5F"/>
    <w:rsid w:val="5F2757D1"/>
    <w:rsid w:val="63E03C96"/>
    <w:rsid w:val="698F72DD"/>
    <w:rsid w:val="6B4239EB"/>
    <w:rsid w:val="711E1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numbering" Target="numbering.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2020-02-02T18:21:00Z</dcterms:created>
  <dc:creator>Administrator</dc:creator>
  <lastModifiedBy>新生</lastModifiedBy>
  <dcterms:modified xsi:type="dcterms:W3CDTF">2020-02-03T09:32:01Z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